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Что такое эмансипация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В соответствии со статьей 27 Гражданского кодекса Российской Федерации (часть первая), несовершеннолетний,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Объявление несовершеннолетнего полностью дееспособным (эмансипация) производится по решению органа опеки и попечительства - с согласия обоих родителей, усыновителей или поп</w:t>
      </w:r>
      <w:r>
        <w:rPr>
          <w:sz w:val="28"/>
        </w:rPr>
        <w:t>ечителя либо при отсутствии такого согласия - по решению суда.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М.В. Сорокоумова</w:t>
      </w:r>
    </w:p>
    <w:p w14:paraId="0B000000">
      <w:pPr>
        <w:widowControl w:val="1"/>
        <w:spacing w:line="240" w:lineRule="exact"/>
        <w:ind/>
        <w:jc w:val="both"/>
        <w:rPr>
          <w:sz w:val="28"/>
        </w:rPr>
      </w:pPr>
    </w:p>
    <w:p w14:paraId="0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apple-converted-space"/>
    <w:basedOn w:val="Style_6"/>
    <w:link w:val="Style_5_ch"/>
  </w:style>
  <w:style w:styleId="Style_5_ch" w:type="character">
    <w:name w:val="apple-converted-space"/>
    <w:basedOn w:val="Style_6_ch"/>
    <w:link w:val="Style_5"/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 Indent"/>
    <w:basedOn w:val="Style_2"/>
    <w:link w:val="Style_11_ch"/>
    <w:pPr>
      <w:widowControl w:val="1"/>
      <w:spacing w:after="120"/>
      <w:ind w:left="283"/>
    </w:pPr>
    <w:rPr>
      <w:sz w:val="20"/>
    </w:rPr>
  </w:style>
  <w:style w:styleId="Style_11_ch" w:type="character">
    <w:name w:val="Body Text Indent"/>
    <w:basedOn w:val="Style_2_ch"/>
    <w:link w:val="Style_11"/>
    <w:rPr>
      <w:sz w:val="20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/>
      <w:ind/>
    </w:pPr>
  </w:style>
  <w:style w:styleId="Style_13_ch" w:type="character">
    <w:name w:val="Normal (Web)"/>
    <w:basedOn w:val="Style_2_ch"/>
    <w:link w:val="Style_13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4" w:type="paragraph">
    <w:name w:val="ConsPlusNormal"/>
    <w:link w:val="Style_14_ch"/>
    <w:pPr>
      <w:widowControl w:val="1"/>
      <w:ind w:firstLine="72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2026-03-27T13:24:54Z</dcterms:created>
  <dcterms:modified xsi:type="dcterms:W3CDTF">2026-04-09T07:48:44Z</dcterms:modified>
</cp:coreProperties>
</file>